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2688186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Planungsleistungen für eine Einrichtung mit mehreren Zweckbestimmungen zur Grundversorgung sowie für soziale und kulturelle Zwecke sowie von Räumen zur gemeinschaftlicher Nutzung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Objektplanung mit dem Leistungsbild Gebäude/Innenräume einschließlich Freianlagenplanung soll für die Leistungsphasen 1-9 (Los1), die Fachplanung mit dem Leistungsbild Tragwerksplanung soll für die Leistungsphasen 1-6 (Los 2) und Fachplanung Technische Gebäudeausstattung soll für die Leistungsphasen 1-9 (Los3) in Anlehnung an der zurzeit gültigen HOAI erbracht werden (stufenweise Beauftragung).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